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61" w:rsidRDefault="00387A34" w:rsidP="0047624F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387A34">
        <w:rPr>
          <w:rFonts w:ascii="標楷體" w:eastAsia="標楷體" w:hAnsi="標楷體" w:hint="eastAsia"/>
          <w:sz w:val="36"/>
          <w:szCs w:val="36"/>
        </w:rPr>
        <w:t>新北市金山區中角國民小學環境教育行動計畫</w:t>
      </w:r>
    </w:p>
    <w:p w:rsidR="00FE198D" w:rsidRDefault="00FE198D" w:rsidP="00387A34">
      <w:pPr>
        <w:rPr>
          <w:rFonts w:ascii="標楷體" w:eastAsia="標楷體" w:hAnsi="標楷體" w:hint="eastAsia"/>
        </w:rPr>
      </w:pPr>
    </w:p>
    <w:p w:rsidR="0047624F" w:rsidRDefault="00387A34" w:rsidP="00387A34">
      <w:pPr>
        <w:rPr>
          <w:rFonts w:ascii="標楷體" w:eastAsia="標楷體" w:hAnsi="標楷體" w:hint="eastAsia"/>
        </w:rPr>
      </w:pPr>
      <w:r w:rsidRPr="00387A34">
        <w:rPr>
          <w:rFonts w:ascii="標楷體" w:eastAsia="標楷體" w:hAnsi="標楷體" w:hint="eastAsia"/>
        </w:rPr>
        <w:t>一、依據：行政院環境保護署、99年4月29日環署綜字第0990030134A號及台環字第</w:t>
      </w:r>
    </w:p>
    <w:p w:rsidR="00387A34" w:rsidRDefault="0047624F" w:rsidP="00387A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="00387A34" w:rsidRPr="00387A34">
        <w:rPr>
          <w:rFonts w:ascii="標楷體" w:eastAsia="標楷體" w:hAnsi="標楷體" w:hint="eastAsia"/>
        </w:rPr>
        <w:t>0990059477B號函「加強學校環境教育三年實施計畫(99-101年)」辦理。。</w:t>
      </w:r>
    </w:p>
    <w:p w:rsidR="0047624F" w:rsidRPr="00387A34" w:rsidRDefault="0047624F" w:rsidP="00387A34">
      <w:pPr>
        <w:rPr>
          <w:rFonts w:ascii="標楷體" w:eastAsia="標楷體" w:hAnsi="標楷體" w:hint="eastAsia"/>
        </w:rPr>
      </w:pPr>
    </w:p>
    <w:p w:rsidR="00387A34" w:rsidRDefault="00387A34" w:rsidP="00387A34">
      <w:pPr>
        <w:rPr>
          <w:rFonts w:ascii="標楷體" w:eastAsia="標楷體" w:hAnsi="標楷體" w:hint="eastAsia"/>
        </w:rPr>
      </w:pPr>
      <w:r w:rsidRPr="00387A34">
        <w:rPr>
          <w:rFonts w:ascii="標楷體" w:eastAsia="標楷體" w:hAnsi="標楷體" w:hint="eastAsia"/>
        </w:rPr>
        <w:t>二、執行期間： 99 年1 月1 日至101 年12 月31 日</w:t>
      </w:r>
      <w:r w:rsidR="0047624F">
        <w:rPr>
          <w:rFonts w:ascii="標楷體" w:eastAsia="標楷體" w:hAnsi="標楷體" w:hint="eastAsia"/>
        </w:rPr>
        <w:t>。</w:t>
      </w:r>
    </w:p>
    <w:p w:rsidR="0047624F" w:rsidRPr="00387A34" w:rsidRDefault="0047624F" w:rsidP="00387A34">
      <w:pPr>
        <w:rPr>
          <w:rFonts w:ascii="標楷體" w:eastAsia="標楷體" w:hAnsi="標楷體" w:hint="eastAsia"/>
        </w:rPr>
      </w:pPr>
    </w:p>
    <w:p w:rsidR="00387A34" w:rsidRPr="00387A34" w:rsidRDefault="00387A34" w:rsidP="00387A34">
      <w:pPr>
        <w:rPr>
          <w:rFonts w:ascii="標楷體" w:eastAsia="標楷體" w:hAnsi="標楷體" w:hint="eastAsia"/>
        </w:rPr>
      </w:pPr>
      <w:r w:rsidRPr="00387A34">
        <w:rPr>
          <w:rFonts w:ascii="標楷體" w:eastAsia="標楷體" w:hAnsi="標楷體" w:hint="eastAsia"/>
        </w:rPr>
        <w:t>三、計畫目標：</w:t>
      </w:r>
    </w:p>
    <w:p w:rsidR="0047624F" w:rsidRDefault="00387A34" w:rsidP="00387A34">
      <w:pPr>
        <w:rPr>
          <w:rFonts w:ascii="標楷體" w:eastAsia="標楷體" w:hAnsi="標楷體" w:hint="eastAsia"/>
        </w:rPr>
      </w:pPr>
      <w:r w:rsidRPr="00387A34">
        <w:rPr>
          <w:rFonts w:ascii="標楷體" w:eastAsia="標楷體" w:hAnsi="標楷體" w:hint="eastAsia"/>
        </w:rPr>
        <w:t>（一）、有效運用教育方法及過程，培育國民了解人與環境之相互關係，增進國民改善環境所</w:t>
      </w:r>
    </w:p>
    <w:p w:rsidR="00387A34" w:rsidRPr="00387A34" w:rsidRDefault="0047624F" w:rsidP="00387A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387A34" w:rsidRPr="00387A34">
        <w:rPr>
          <w:rFonts w:ascii="標楷體" w:eastAsia="標楷體" w:hAnsi="標楷體" w:hint="eastAsia"/>
        </w:rPr>
        <w:t>需之知識、態度、技能及價值觀。</w:t>
      </w:r>
    </w:p>
    <w:p w:rsidR="0047624F" w:rsidRDefault="00387A34" w:rsidP="00387A34">
      <w:pPr>
        <w:rPr>
          <w:rFonts w:ascii="標楷體" w:eastAsia="標楷體" w:hAnsi="標楷體" w:hint="eastAsia"/>
        </w:rPr>
      </w:pPr>
      <w:r w:rsidRPr="00387A34">
        <w:rPr>
          <w:rFonts w:ascii="標楷體" w:eastAsia="標楷體" w:hAnsi="標楷體" w:hint="eastAsia"/>
        </w:rPr>
        <w:t>（二）、以人文理念和科學方法，致力於自然生態保育及環境資源的合理經營，以促進永續發</w:t>
      </w:r>
    </w:p>
    <w:p w:rsidR="00387A34" w:rsidRPr="00387A34" w:rsidRDefault="0047624F" w:rsidP="00387A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387A34" w:rsidRPr="00387A34">
        <w:rPr>
          <w:rFonts w:ascii="標楷體" w:eastAsia="標楷體" w:hAnsi="標楷體" w:hint="eastAsia"/>
        </w:rPr>
        <w:t>展。</w:t>
      </w:r>
    </w:p>
    <w:p w:rsidR="0047624F" w:rsidRDefault="00387A34" w:rsidP="00387A34">
      <w:pPr>
        <w:rPr>
          <w:rFonts w:ascii="標楷體" w:eastAsia="標楷體" w:hAnsi="標楷體" w:hint="eastAsia"/>
        </w:rPr>
      </w:pPr>
      <w:r w:rsidRPr="00387A34">
        <w:rPr>
          <w:rFonts w:ascii="標楷體" w:eastAsia="標楷體" w:hAnsi="標楷體" w:hint="eastAsia"/>
        </w:rPr>
        <w:t>（三）、推動環境倫理與主動積極的環境行動，透過學校教育與社教宣導活動，讓師生及社區</w:t>
      </w:r>
    </w:p>
    <w:p w:rsidR="00387A34" w:rsidRPr="00387A34" w:rsidRDefault="0047624F" w:rsidP="00387A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387A34" w:rsidRPr="00387A34">
        <w:rPr>
          <w:rFonts w:ascii="標楷體" w:eastAsia="標楷體" w:hAnsi="標楷體" w:hint="eastAsia"/>
        </w:rPr>
        <w:t>民眾主動積極建立垃圾分類、資源回收的環境行動，以提升生活環境品質。</w:t>
      </w:r>
    </w:p>
    <w:p w:rsidR="00387A34" w:rsidRDefault="00387A34" w:rsidP="00387A34">
      <w:pPr>
        <w:rPr>
          <w:rFonts w:ascii="標楷體" w:eastAsia="標楷體" w:hAnsi="標楷體" w:hint="eastAsia"/>
        </w:rPr>
      </w:pPr>
      <w:r w:rsidRPr="00387A34">
        <w:rPr>
          <w:rFonts w:ascii="標楷體" w:eastAsia="標楷體" w:hAnsi="標楷體" w:hint="eastAsia"/>
        </w:rPr>
        <w:t>（四）、培養愛護環境，尊重自然，養成珍惜資源、節約能源、惜福、愛物的生活習慣。</w:t>
      </w:r>
    </w:p>
    <w:p w:rsidR="0047624F" w:rsidRDefault="0047624F" w:rsidP="00387A34">
      <w:pPr>
        <w:rPr>
          <w:rFonts w:ascii="標楷體" w:eastAsia="標楷體" w:hAnsi="標楷體" w:hint="eastAsia"/>
        </w:rPr>
      </w:pPr>
    </w:p>
    <w:p w:rsidR="00387A34" w:rsidRDefault="00387A34" w:rsidP="00387A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>
        <w:rPr>
          <w:rFonts w:ascii="新細明體" w:eastAsia="新細明體" w:hAnsi="新細明體" w:hint="eastAsia"/>
        </w:rPr>
        <w:t>、</w:t>
      </w:r>
      <w:r w:rsidRPr="00387A34">
        <w:rPr>
          <w:rFonts w:ascii="標楷體" w:eastAsia="標楷體" w:hAnsi="標楷體" w:hint="eastAsia"/>
        </w:rPr>
        <w:t>環境保護小組組織表及任務分工</w:t>
      </w:r>
      <w:r>
        <w:rPr>
          <w:rFonts w:ascii="標楷體" w:eastAsia="標楷體" w:hAnsi="標楷體" w:hint="eastAsia"/>
        </w:rPr>
        <w:t>：</w:t>
      </w:r>
    </w:p>
    <w:p w:rsidR="00387A34" w:rsidRPr="00387A34" w:rsidRDefault="00387A34" w:rsidP="00387A34">
      <w:pPr>
        <w:rPr>
          <w:rFonts w:ascii="標楷體" w:eastAsia="標楷體" w:hAnsi="標楷體"/>
        </w:rPr>
      </w:pPr>
    </w:p>
    <w:tbl>
      <w:tblPr>
        <w:tblStyle w:val="a4"/>
        <w:tblW w:w="0" w:type="auto"/>
        <w:tblInd w:w="637" w:type="dxa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4710"/>
      </w:tblGrid>
      <w:tr w:rsidR="00387A34" w:rsidTr="0047624F">
        <w:tc>
          <w:tcPr>
            <w:tcW w:w="1242" w:type="dxa"/>
          </w:tcPr>
          <w:p w:rsidR="00387A34" w:rsidRPr="00387A34" w:rsidRDefault="00387A34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計畫職稱</w:t>
            </w:r>
          </w:p>
        </w:tc>
        <w:tc>
          <w:tcPr>
            <w:tcW w:w="1134" w:type="dxa"/>
          </w:tcPr>
          <w:p w:rsidR="00387A34" w:rsidRDefault="00BA0884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</w:tcPr>
          <w:p w:rsidR="00387A34" w:rsidRDefault="00BA0884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單位職稱</w:t>
            </w:r>
          </w:p>
        </w:tc>
        <w:tc>
          <w:tcPr>
            <w:tcW w:w="4710" w:type="dxa"/>
          </w:tcPr>
          <w:p w:rsidR="00387A34" w:rsidRDefault="00BA0884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</w:tr>
      <w:tr w:rsidR="00294FE0" w:rsidTr="0047624F">
        <w:tc>
          <w:tcPr>
            <w:tcW w:w="1242" w:type="dxa"/>
          </w:tcPr>
          <w:p w:rsidR="00294FE0" w:rsidRPr="00BA0884" w:rsidRDefault="00294FE0" w:rsidP="00BA088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A0884">
              <w:rPr>
                <w:rFonts w:ascii="Times New Roman" w:eastAsia="標楷體" w:hAnsi="Times New Roman" w:cs="Times New Roman" w:hint="eastAsia"/>
                <w:szCs w:val="24"/>
              </w:rPr>
              <w:t>召集人</w:t>
            </w:r>
          </w:p>
        </w:tc>
        <w:tc>
          <w:tcPr>
            <w:tcW w:w="1134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蔡建文</w:t>
            </w:r>
          </w:p>
        </w:tc>
        <w:tc>
          <w:tcPr>
            <w:tcW w:w="1276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4710" w:type="dxa"/>
          </w:tcPr>
          <w:p w:rsidR="00294FE0" w:rsidRDefault="00294FE0" w:rsidP="00805307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統籌全校環境教育相關工作</w:t>
            </w:r>
            <w:r w:rsidR="00B246F3">
              <w:rPr>
                <w:rFonts w:ascii="標楷體" w:eastAsia="標楷體" w:hAnsi="標楷體" w:hint="eastAsia"/>
              </w:rPr>
              <w:t>。</w:t>
            </w:r>
          </w:p>
        </w:tc>
      </w:tr>
      <w:tr w:rsidR="00294FE0" w:rsidTr="0047624F">
        <w:tc>
          <w:tcPr>
            <w:tcW w:w="1242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  <w:r w:rsidRPr="00BA0884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1134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趙景宜</w:t>
            </w:r>
          </w:p>
        </w:tc>
        <w:tc>
          <w:tcPr>
            <w:tcW w:w="1276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4710" w:type="dxa"/>
          </w:tcPr>
          <w:p w:rsidR="00294FE0" w:rsidRDefault="00294FE0" w:rsidP="00A7182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校園環境保護工作之訂定與愛護環境系列活動之推展</w:t>
            </w:r>
            <w:r w:rsidR="00BA0A57">
              <w:rPr>
                <w:rFonts w:ascii="標楷體" w:eastAsia="標楷體" w:hint="eastAsia"/>
              </w:rPr>
              <w:t>及各項經費預算與支出</w:t>
            </w:r>
            <w:r w:rsidR="00B246F3">
              <w:rPr>
                <w:rFonts w:ascii="標楷體" w:eastAsia="標楷體" w:hAnsi="標楷體" w:hint="eastAsia"/>
              </w:rPr>
              <w:t>。</w:t>
            </w:r>
          </w:p>
        </w:tc>
      </w:tr>
      <w:tr w:rsidR="00294FE0" w:rsidTr="0047624F">
        <w:tc>
          <w:tcPr>
            <w:tcW w:w="1242" w:type="dxa"/>
          </w:tcPr>
          <w:p w:rsidR="00294FE0" w:rsidRDefault="00294FE0" w:rsidP="00BA0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副總幹事</w:t>
            </w:r>
          </w:p>
        </w:tc>
        <w:tc>
          <w:tcPr>
            <w:tcW w:w="1134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王一梅</w:t>
            </w:r>
          </w:p>
        </w:tc>
        <w:tc>
          <w:tcPr>
            <w:tcW w:w="1276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4710" w:type="dxa"/>
          </w:tcPr>
          <w:p w:rsidR="00294FE0" w:rsidRDefault="00B246F3" w:rsidP="00BA0A57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校園環境教育課程規劃與推展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94FE0" w:rsidTr="0047624F">
        <w:tc>
          <w:tcPr>
            <w:tcW w:w="1242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執行小組</w:t>
            </w:r>
          </w:p>
        </w:tc>
        <w:tc>
          <w:tcPr>
            <w:tcW w:w="1134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黃文俊</w:t>
            </w:r>
          </w:p>
        </w:tc>
        <w:tc>
          <w:tcPr>
            <w:tcW w:w="1276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4710" w:type="dxa"/>
            <w:vAlign w:val="center"/>
          </w:tcPr>
          <w:p w:rsidR="00294FE0" w:rsidRDefault="00294FE0" w:rsidP="002C3335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執行校園環境保護工作及愛護環境系列活動之推展</w:t>
            </w:r>
            <w:r w:rsidR="0077571D">
              <w:rPr>
                <w:rFonts w:ascii="標楷體" w:eastAsia="標楷體" w:hAnsi="標楷體" w:hint="eastAsia"/>
              </w:rPr>
              <w:t>。</w:t>
            </w:r>
          </w:p>
        </w:tc>
      </w:tr>
      <w:tr w:rsidR="00294FE0" w:rsidTr="0047624F">
        <w:tc>
          <w:tcPr>
            <w:tcW w:w="1242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潘雅佳</w:t>
            </w:r>
          </w:p>
        </w:tc>
        <w:tc>
          <w:tcPr>
            <w:tcW w:w="1276" w:type="dxa"/>
          </w:tcPr>
          <w:p w:rsidR="00294FE0" w:rsidRDefault="0077571D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教務組長</w:t>
            </w:r>
          </w:p>
        </w:tc>
        <w:tc>
          <w:tcPr>
            <w:tcW w:w="4710" w:type="dxa"/>
            <w:vAlign w:val="center"/>
          </w:tcPr>
          <w:p w:rsidR="00294FE0" w:rsidRDefault="0077571D" w:rsidP="00BA0A57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執行</w:t>
            </w:r>
            <w:r w:rsidR="00BA0A57">
              <w:rPr>
                <w:rFonts w:ascii="標楷體" w:eastAsia="標楷體" w:hint="eastAsia"/>
              </w:rPr>
              <w:t>環境教育教材之發展與推行相關藝文活動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94FE0" w:rsidTr="0047624F">
        <w:tc>
          <w:tcPr>
            <w:tcW w:w="1242" w:type="dxa"/>
          </w:tcPr>
          <w:p w:rsidR="00294FE0" w:rsidRDefault="00294FE0" w:rsidP="00387A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94FE0" w:rsidRDefault="0077571D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黃美姿</w:t>
            </w:r>
          </w:p>
        </w:tc>
        <w:tc>
          <w:tcPr>
            <w:tcW w:w="1276" w:type="dxa"/>
          </w:tcPr>
          <w:p w:rsidR="00294FE0" w:rsidRDefault="0077571D" w:rsidP="00387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4710" w:type="dxa"/>
          </w:tcPr>
          <w:p w:rsidR="00294FE0" w:rsidRDefault="00B246F3" w:rsidP="00805307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協助各項推展環境教育計畫維護師生健康</w:t>
            </w:r>
            <w:r w:rsidR="0077571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7624F" w:rsidRDefault="0047624F" w:rsidP="00387A34">
      <w:pPr>
        <w:rPr>
          <w:rFonts w:ascii="標楷體" w:eastAsia="標楷體" w:hAnsi="標楷體" w:hint="eastAsia"/>
        </w:rPr>
      </w:pPr>
    </w:p>
    <w:p w:rsidR="0077571D" w:rsidRDefault="0077571D" w:rsidP="00387A34">
      <w:pPr>
        <w:rPr>
          <w:rFonts w:ascii="標楷體" w:eastAsia="標楷體" w:hAnsi="標楷體" w:hint="eastAsia"/>
        </w:rPr>
      </w:pPr>
      <w:r w:rsidRPr="0077571D">
        <w:rPr>
          <w:rFonts w:ascii="標楷體" w:eastAsia="標楷體" w:hAnsi="標楷體" w:hint="eastAsia"/>
        </w:rPr>
        <w:t>五、推動內容與方式</w:t>
      </w:r>
      <w:r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="312" w:tblpY="23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4281"/>
        <w:gridCol w:w="1389"/>
      </w:tblGrid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center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項 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center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內 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center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進行方式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center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執行單位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624F" w:rsidRPr="0047624F" w:rsidRDefault="0047624F" w:rsidP="0047624F">
            <w:pPr>
              <w:ind w:left="113" w:right="113"/>
              <w:jc w:val="both"/>
              <w:rPr>
                <w:rFonts w:ascii="標楷體" w:eastAsia="標楷體" w:hAnsi="標楷體"/>
                <w:bCs/>
              </w:rPr>
            </w:pPr>
            <w:r w:rsidRPr="0047624F">
              <w:rPr>
                <w:rFonts w:ascii="標楷體" w:eastAsia="標楷體" w:hAnsi="標楷體" w:hint="eastAsia"/>
                <w:bCs/>
              </w:rPr>
              <w:t>一、推動校園環境管理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="-33"/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（一）訂定（修訂）校園環境管理計畫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1.訂定（修訂）並發展符合當地特色的校園環境管理計畫，營造健康、安全與關懷的校園環境。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2.結合家長及社區資源參與校園環境管理計畫的推動。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3.推動校園環境稽核實務，以強化校園環境自主化管理。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（二）執行校園環境管理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1.採行綠建築觀念，建構及修繕房舍、設施、場所，並營造本土生物多樣性的校園生態環境。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2.妥善處理研究、教學、實習後之廢液及廢棄物，落實實驗室安全衛生教育。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="45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15" w:left="36"/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3.定期取樣學校飲用水體送檢化驗，並委由專人或維修商依約定期維護管理。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="45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15" w:left="36"/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4</w:t>
            </w:r>
            <w:r w:rsidRPr="00227CAC">
              <w:rPr>
                <w:rFonts w:ascii="標楷體" w:eastAsia="標楷體" w:hAnsi="標楷體" w:hint="eastAsia"/>
                <w:bCs/>
              </w:rPr>
              <w:t>.推動校園多採自然通風或使用電風扇，並建立校園內空調使用之標準，宣導冷氣溫度控制應適度。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="45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15" w:left="36"/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5</w:t>
            </w:r>
            <w:r w:rsidRPr="00227CAC">
              <w:rPr>
                <w:rFonts w:ascii="標楷體" w:eastAsia="標楷體" w:hAnsi="標楷體" w:hint="eastAsia"/>
                <w:bCs/>
              </w:rPr>
              <w:t>.進行校區防疫教育宣導與防治工作。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624F" w:rsidRPr="00227CAC" w:rsidRDefault="0047624F" w:rsidP="0047624F">
            <w:pPr>
              <w:ind w:left="113" w:right="113"/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二、落實環境教學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（一）培育環境教育師資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spacing w:before="100" w:beforeAutospacing="1" w:after="100" w:afterAutospacing="1" w:line="400" w:lineRule="atLeast"/>
              <w:rPr>
                <w:rFonts w:ascii="新細明體" w:hAnsi="新細明體" w:cs="新細明體"/>
                <w:kern w:val="0"/>
              </w:rPr>
            </w:pPr>
            <w:r w:rsidRPr="00C652F3">
              <w:rPr>
                <w:rFonts w:ascii="標楷體" w:eastAsia="標楷體" w:hAnsi="標楷體" w:cs="新細明體" w:hint="eastAsia"/>
                <w:kern w:val="0"/>
              </w:rPr>
              <w:t>鼓勵成立環境教育教師專業成長團。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（二）開發環境教材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spacing w:before="100" w:beforeAutospacing="1" w:after="100" w:afterAutospacing="1" w:line="400" w:lineRule="atLeast"/>
              <w:rPr>
                <w:rFonts w:ascii="新細明體" w:hAnsi="新細明體" w:cs="新細明體"/>
                <w:kern w:val="0"/>
              </w:rPr>
            </w:pPr>
            <w:r w:rsidRPr="00C652F3">
              <w:rPr>
                <w:rFonts w:ascii="標楷體" w:eastAsia="標楷體" w:hAnsi="標楷體" w:cs="新細明體" w:hint="eastAsia"/>
                <w:kern w:val="0"/>
              </w:rPr>
              <w:t>1.鼓勵設計環境教育教案。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473990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473990" w:rsidRDefault="0047624F" w:rsidP="0047624F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473990" w:rsidRDefault="0047624F" w:rsidP="0047624F">
            <w:pPr>
              <w:spacing w:before="100" w:beforeAutospacing="1" w:after="100" w:afterAutospacing="1" w:line="400" w:lineRule="atLeast"/>
              <w:rPr>
                <w:rFonts w:ascii="標楷體" w:eastAsia="標楷體" w:hAnsi="標楷體" w:cs="新細明體" w:hint="eastAsia"/>
                <w:kern w:val="0"/>
              </w:rPr>
            </w:pPr>
            <w:r w:rsidRPr="00C652F3">
              <w:rPr>
                <w:rFonts w:ascii="標楷體" w:eastAsia="標楷體" w:hAnsi="標楷體" w:cs="新細明體" w:hint="eastAsia"/>
                <w:kern w:val="0"/>
              </w:rPr>
              <w:t>2.推薦環保輔助教材為課外讀物。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473990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3.善用校園環境資源、規劃校園環境教學步道，提供教學。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（三）舉辦環境教學活動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1.定期實施防災宣導及演練。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總務處、教導處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="45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Default="0047624F" w:rsidP="0047624F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2.將資源教育、低碳教育、節約用水教育等融入課程</w:t>
            </w:r>
          </w:p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624F" w:rsidRPr="00227CAC" w:rsidRDefault="0047624F" w:rsidP="0047624F">
            <w:pPr>
              <w:ind w:left="113" w:right="113"/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三、推動校園生活環保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-13" w:left="-31"/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（一）舉辦環保競賽及會議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1.舉辦環境地圖繪製、攝影、徵文、戲劇、網頁、海報、有獎徵答、環保創意設計、及教學觀摩等活動。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-13" w:left="-31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2.舉辦環保教育宣導、研習會、研討會、讀書會、工作坊及展覽等。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-13" w:left="-31"/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（二）落實校園生活環保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1.推行校園源頭減量、禁用免洗餐具、瓶裝水、杯水、資源回收再利用(含參考書、制服、學用品、落葉及廚餘等)、跳蚤市場、辦公室做環保、校園種植原生種樹木、有助清淨空氣之盆栽及使用節能器材與設備等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總務處、教導處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-13" w:left="-31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2.推動省電節能、節約用水、廢棄物減量、綠色交通、綠色校園等低碳創新與特色校園之相關工作。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-13" w:left="-31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3.落實綠色採購方案，定時上網填報，修正最新採購比例，並加強校園辦理綠色消費之宣導活動及鼓勵師生力行綠色採購。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-13" w:left="-31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4</w:t>
            </w:r>
            <w:r w:rsidRPr="00227CAC">
              <w:rPr>
                <w:rFonts w:ascii="標楷體" w:eastAsia="標楷體" w:hAnsi="標楷體" w:hint="eastAsia"/>
                <w:bCs/>
              </w:rPr>
              <w:t>.結合家長及社區資源並配合政府機關環保施政重點，推動環保服務工作。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總務處、教導處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-13" w:left="-31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5</w:t>
            </w:r>
            <w:r w:rsidRPr="00227CAC">
              <w:rPr>
                <w:rFonts w:ascii="標楷體" w:eastAsia="標楷體" w:hAnsi="標楷體" w:hint="eastAsia"/>
                <w:bCs/>
              </w:rPr>
              <w:t>.推動教職員生及家長步行、共乘或使用大眾運輸系統及低污染綠色運具，以減少車輛廢氣排放及能源消耗。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-13" w:left="-31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Default="0047624F" w:rsidP="0047624F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7</w:t>
            </w:r>
            <w:r w:rsidRPr="00227CAC">
              <w:rPr>
                <w:rFonts w:ascii="標楷體" w:eastAsia="標楷體" w:hAnsi="標楷體" w:hint="eastAsia"/>
                <w:bCs/>
              </w:rPr>
              <w:t>.校園餐廳或承包營養午餐之中央廚房儘量採購當季、當地新鮮食材，並推動各級學校實施每</w:t>
            </w:r>
            <w:r w:rsidRPr="00473990">
              <w:rPr>
                <w:rFonts w:ascii="標楷體" w:eastAsia="標楷體" w:hAnsi="標楷體" w:hint="eastAsia"/>
                <w:bCs/>
              </w:rPr>
              <w:t>月</w:t>
            </w:r>
            <w:r w:rsidRPr="00227CAC">
              <w:rPr>
                <w:rFonts w:ascii="標楷體" w:eastAsia="標楷體" w:hAnsi="標楷體" w:hint="eastAsia"/>
                <w:bCs/>
              </w:rPr>
              <w:t>至少一日「蔬食環保餐」。</w:t>
            </w:r>
          </w:p>
          <w:p w:rsidR="0047624F" w:rsidRDefault="0047624F" w:rsidP="0047624F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624F" w:rsidRPr="00227CAC" w:rsidRDefault="0047624F" w:rsidP="0047624F">
            <w:pPr>
              <w:ind w:left="113" w:right="113"/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四、普設環境教育設施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-13" w:left="-31"/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整合設置環境教育設施或場所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1.鼓勵學校戶外教學或參觀環境教育場所及環保設施（如環保科技園區、焚化廠、資源回收場及環境學習中心等）。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教導處</w:t>
            </w:r>
          </w:p>
        </w:tc>
      </w:tr>
      <w:tr w:rsidR="0047624F" w:rsidRPr="00473990" w:rsidTr="0047624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ind w:leftChars="-13" w:left="-31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227CAC">
              <w:rPr>
                <w:rFonts w:ascii="標楷體" w:eastAsia="標楷體" w:hAnsi="標楷體" w:hint="eastAsia"/>
                <w:bCs/>
              </w:rPr>
              <w:t>2.鼓勵民間非營利組織的積極參與運用校園及社區閒置空間，設置環境教育學習場所。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F" w:rsidRPr="00227CAC" w:rsidRDefault="0047624F" w:rsidP="0047624F">
            <w:pPr>
              <w:jc w:val="both"/>
              <w:rPr>
                <w:rFonts w:ascii="標楷體" w:eastAsia="標楷體" w:hAnsi="標楷體"/>
                <w:bCs/>
              </w:rPr>
            </w:pPr>
            <w:r w:rsidRPr="00473990">
              <w:rPr>
                <w:rFonts w:ascii="標楷體" w:eastAsia="標楷體" w:hAnsi="標楷體" w:hint="eastAsia"/>
                <w:bCs/>
              </w:rPr>
              <w:t>總務處</w:t>
            </w:r>
          </w:p>
        </w:tc>
      </w:tr>
    </w:tbl>
    <w:p w:rsidR="00E3652B" w:rsidRDefault="00E3652B" w:rsidP="00387A34">
      <w:pPr>
        <w:rPr>
          <w:rFonts w:ascii="標楷體" w:eastAsia="標楷體" w:hAnsi="標楷體" w:hint="eastAsia"/>
        </w:rPr>
      </w:pPr>
    </w:p>
    <w:p w:rsidR="00FE198D" w:rsidRPr="00FE198D" w:rsidRDefault="00FE198D" w:rsidP="00FE198D">
      <w:pPr>
        <w:rPr>
          <w:rFonts w:ascii="標楷體" w:eastAsia="標楷體" w:hAnsi="標楷體" w:hint="eastAsia"/>
        </w:rPr>
      </w:pPr>
      <w:r w:rsidRPr="00FE198D">
        <w:rPr>
          <w:rFonts w:ascii="標楷體" w:eastAsia="標楷體" w:hAnsi="標楷體" w:hint="eastAsia"/>
        </w:rPr>
        <w:t>七、預期效益</w:t>
      </w:r>
    </w:p>
    <w:p w:rsidR="00FE198D" w:rsidRPr="00FE198D" w:rsidRDefault="00FE198D" w:rsidP="00FE198D">
      <w:pPr>
        <w:rPr>
          <w:rFonts w:ascii="標楷體" w:eastAsia="標楷體" w:hAnsi="標楷體" w:hint="eastAsia"/>
        </w:rPr>
      </w:pPr>
      <w:r w:rsidRPr="00FE198D">
        <w:rPr>
          <w:rFonts w:ascii="標楷體" w:eastAsia="標楷體" w:hAnsi="標楷體" w:hint="eastAsia"/>
        </w:rPr>
        <w:t>（一）透過學校師生及家長的參與，共創符合永續發展、安全舒適的校園環境。</w:t>
      </w:r>
    </w:p>
    <w:p w:rsidR="00FE198D" w:rsidRPr="00FE198D" w:rsidRDefault="00FE198D" w:rsidP="00FE198D">
      <w:pPr>
        <w:rPr>
          <w:rFonts w:ascii="標楷體" w:eastAsia="標楷體" w:hAnsi="標楷體" w:hint="eastAsia"/>
        </w:rPr>
      </w:pPr>
      <w:r w:rsidRPr="00FE198D">
        <w:rPr>
          <w:rFonts w:ascii="標楷體" w:eastAsia="標楷體" w:hAnsi="標楷體" w:hint="eastAsia"/>
        </w:rPr>
        <w:t>（二）促使本校教師執行環境創意教學，增進學生對環境覺知、技能、行動及價值觀。</w:t>
      </w:r>
    </w:p>
    <w:p w:rsidR="00FE198D" w:rsidRDefault="00FE198D" w:rsidP="00FE198D">
      <w:pPr>
        <w:rPr>
          <w:rFonts w:ascii="標楷體" w:eastAsia="標楷體" w:hAnsi="標楷體" w:hint="eastAsia"/>
        </w:rPr>
      </w:pPr>
      <w:r w:rsidRPr="00FE198D">
        <w:rPr>
          <w:rFonts w:ascii="標楷體" w:eastAsia="標楷體" w:hAnsi="標楷體" w:hint="eastAsia"/>
        </w:rPr>
        <w:t>（三）加強本校各班級主動積極推動校園環境保護工作，增進學校成員環保行動力。</w:t>
      </w:r>
    </w:p>
    <w:p w:rsidR="00FE198D" w:rsidRPr="00FE198D" w:rsidRDefault="00FE198D" w:rsidP="00FE198D">
      <w:pPr>
        <w:rPr>
          <w:rFonts w:ascii="標楷體" w:eastAsia="標楷體" w:hAnsi="標楷體" w:hint="eastAsia"/>
        </w:rPr>
      </w:pPr>
    </w:p>
    <w:p w:rsidR="00FE198D" w:rsidRPr="00FE198D" w:rsidRDefault="00FE198D" w:rsidP="00FE198D">
      <w:pPr>
        <w:rPr>
          <w:rFonts w:ascii="標楷體" w:eastAsia="標楷體" w:hAnsi="標楷體" w:hint="eastAsia"/>
        </w:rPr>
      </w:pPr>
      <w:r w:rsidRPr="00FE198D">
        <w:rPr>
          <w:rFonts w:ascii="標楷體" w:eastAsia="標楷體" w:hAnsi="標楷體" w:hint="eastAsia"/>
        </w:rPr>
        <w:t>八、執行與考核 、執行與考核</w:t>
      </w:r>
    </w:p>
    <w:p w:rsidR="00FE198D" w:rsidRPr="00FE198D" w:rsidRDefault="00FE198D" w:rsidP="00FE198D">
      <w:pPr>
        <w:rPr>
          <w:rFonts w:ascii="標楷體" w:eastAsia="標楷體" w:hAnsi="標楷體" w:hint="eastAsia"/>
        </w:rPr>
      </w:pPr>
      <w:r w:rsidRPr="00FE198D">
        <w:rPr>
          <w:rFonts w:ascii="標楷體" w:eastAsia="標楷體" w:hAnsi="標楷體" w:hint="eastAsia"/>
        </w:rPr>
        <w:t>（一）訂定校內永續園環境管理計畫，報教育局備查。</w:t>
      </w:r>
    </w:p>
    <w:p w:rsidR="00FE198D" w:rsidRPr="00FE198D" w:rsidRDefault="00FE198D" w:rsidP="00FE198D">
      <w:pPr>
        <w:rPr>
          <w:rFonts w:ascii="標楷體" w:eastAsia="標楷體" w:hAnsi="標楷體" w:hint="eastAsia"/>
        </w:rPr>
      </w:pPr>
      <w:r w:rsidRPr="00FE198D">
        <w:rPr>
          <w:rFonts w:ascii="標楷體" w:eastAsia="標楷體" w:hAnsi="標楷體" w:hint="eastAsia"/>
        </w:rPr>
        <w:t>（二）環境保護小組隨時視察、檢討推行教育情形。</w:t>
      </w:r>
    </w:p>
    <w:p w:rsidR="00FE198D" w:rsidRDefault="00FE198D" w:rsidP="00FE198D">
      <w:pPr>
        <w:rPr>
          <w:rFonts w:ascii="標楷體" w:eastAsia="標楷體" w:hAnsi="標楷體" w:hint="eastAsia"/>
        </w:rPr>
      </w:pPr>
      <w:r w:rsidRPr="00FE198D">
        <w:rPr>
          <w:rFonts w:ascii="標楷體" w:eastAsia="標楷體" w:hAnsi="標楷體" w:hint="eastAsia"/>
        </w:rPr>
        <w:t>（三）遴選、表揚獎勵推動環境教育有功之班級師及學生。</w:t>
      </w:r>
    </w:p>
    <w:p w:rsidR="00FE198D" w:rsidRDefault="00FE198D" w:rsidP="00FE198D">
      <w:pPr>
        <w:rPr>
          <w:rFonts w:ascii="標楷體" w:eastAsia="標楷體" w:hAnsi="標楷體" w:hint="eastAsia"/>
        </w:rPr>
      </w:pPr>
    </w:p>
    <w:p w:rsidR="00FE198D" w:rsidRDefault="00FE198D" w:rsidP="00FE198D">
      <w:pPr>
        <w:rPr>
          <w:rFonts w:ascii="標楷體" w:eastAsia="標楷體" w:hAnsi="標楷體" w:hint="eastAsia"/>
        </w:rPr>
      </w:pPr>
    </w:p>
    <w:p w:rsidR="00FE198D" w:rsidRPr="00FE198D" w:rsidRDefault="00FE198D" w:rsidP="00FE198D">
      <w:pPr>
        <w:rPr>
          <w:rFonts w:ascii="標楷體" w:eastAsia="標楷體" w:hAnsi="標楷體" w:hint="eastAsia"/>
        </w:rPr>
      </w:pPr>
    </w:p>
    <w:p w:rsidR="00E3652B" w:rsidRPr="00E3652B" w:rsidRDefault="00FE198D" w:rsidP="00FE198D">
      <w:pPr>
        <w:rPr>
          <w:rFonts w:ascii="標楷體" w:eastAsia="標楷體" w:hAnsi="標楷體"/>
        </w:rPr>
      </w:pPr>
      <w:r w:rsidRPr="00FE198D">
        <w:rPr>
          <w:rFonts w:ascii="標楷體" w:eastAsia="標楷體" w:hAnsi="標楷體" w:hint="eastAsia"/>
        </w:rPr>
        <w:t xml:space="preserve">承辦人： </w:t>
      </w:r>
      <w:r>
        <w:rPr>
          <w:rFonts w:ascii="標楷體" w:eastAsia="標楷體" w:hAnsi="標楷體" w:hint="eastAsia"/>
        </w:rPr>
        <w:t xml:space="preserve">                   </w:t>
      </w:r>
      <w:r w:rsidRPr="00FE198D">
        <w:rPr>
          <w:rFonts w:ascii="標楷體" w:eastAsia="標楷體" w:hAnsi="標楷體" w:hint="eastAsia"/>
        </w:rPr>
        <w:t xml:space="preserve">相關處室主任： </w:t>
      </w:r>
      <w:r>
        <w:rPr>
          <w:rFonts w:ascii="標楷體" w:eastAsia="標楷體" w:hAnsi="標楷體" w:hint="eastAsia"/>
        </w:rPr>
        <w:t xml:space="preserve">                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 </w:t>
      </w:r>
      <w:r w:rsidRPr="00FE198D">
        <w:rPr>
          <w:rFonts w:ascii="標楷體" w:eastAsia="標楷體" w:hAnsi="標楷體" w:hint="eastAsia"/>
        </w:rPr>
        <w:t>校長：</w:t>
      </w:r>
    </w:p>
    <w:sectPr w:rsidR="00E3652B" w:rsidRPr="00E3652B" w:rsidSect="004762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74" w:rsidRDefault="00BC0B74" w:rsidP="00BA0A57">
      <w:r>
        <w:separator/>
      </w:r>
    </w:p>
  </w:endnote>
  <w:endnote w:type="continuationSeparator" w:id="0">
    <w:p w:rsidR="00BC0B74" w:rsidRDefault="00BC0B74" w:rsidP="00BA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74" w:rsidRDefault="00BC0B74" w:rsidP="00BA0A57">
      <w:r>
        <w:separator/>
      </w:r>
    </w:p>
  </w:footnote>
  <w:footnote w:type="continuationSeparator" w:id="0">
    <w:p w:rsidR="00BC0B74" w:rsidRDefault="00BC0B74" w:rsidP="00BA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34"/>
    <w:rsid w:val="00034361"/>
    <w:rsid w:val="00294FE0"/>
    <w:rsid w:val="002C3335"/>
    <w:rsid w:val="00387A34"/>
    <w:rsid w:val="0047624F"/>
    <w:rsid w:val="006C283A"/>
    <w:rsid w:val="0077571D"/>
    <w:rsid w:val="00A71825"/>
    <w:rsid w:val="00B246F3"/>
    <w:rsid w:val="00BA0884"/>
    <w:rsid w:val="00BA0A57"/>
    <w:rsid w:val="00BC0B74"/>
    <w:rsid w:val="00E3652B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A34"/>
    <w:pPr>
      <w:ind w:leftChars="200" w:left="480"/>
    </w:pPr>
  </w:style>
  <w:style w:type="table" w:styleId="a4">
    <w:name w:val="Table Grid"/>
    <w:basedOn w:val="a1"/>
    <w:uiPriority w:val="59"/>
    <w:rsid w:val="00387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A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A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A34"/>
    <w:pPr>
      <w:ind w:leftChars="200" w:left="480"/>
    </w:pPr>
  </w:style>
  <w:style w:type="table" w:styleId="a4">
    <w:name w:val="Table Grid"/>
    <w:basedOn w:val="a1"/>
    <w:uiPriority w:val="59"/>
    <w:rsid w:val="00387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A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A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6722-17EB-412A-BA2A-4B2D7FE8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朱桂芳</dc:creator>
  <cp:lastModifiedBy>朱桂芳</cp:lastModifiedBy>
  <cp:revision>1</cp:revision>
  <dcterms:created xsi:type="dcterms:W3CDTF">2012-03-15T00:18:00Z</dcterms:created>
  <dcterms:modified xsi:type="dcterms:W3CDTF">2012-03-15T03:18:00Z</dcterms:modified>
</cp:coreProperties>
</file>